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322003">
        <w:rPr>
          <w:rFonts w:ascii="Arial" w:hAnsi="Arial" w:cs="Arial"/>
          <w:color w:val="4BACC6" w:themeColor="accent5"/>
          <w:sz w:val="24"/>
          <w:szCs w:val="24"/>
        </w:rPr>
        <w:t xml:space="preserve">catorce de diciembre de </w:t>
      </w:r>
      <w:r w:rsidR="00B4587C" w:rsidRPr="00D7336A">
        <w:rPr>
          <w:rFonts w:ascii="Arial" w:hAnsi="Arial" w:cs="Arial"/>
          <w:color w:val="4BACC6" w:themeColor="accent5"/>
          <w:sz w:val="24"/>
          <w:szCs w:val="24"/>
        </w:rPr>
        <w:t>dos mil diecisiete</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977800">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“…6.2. Sentido y efectos de la presente resolución.</w:t>
      </w:r>
    </w:p>
    <w:p w:rsidR="00322003" w:rsidRDefault="00322003" w:rsidP="005A774A">
      <w:pPr>
        <w:pStyle w:val="corte4fondo"/>
        <w:tabs>
          <w:tab w:val="left" w:pos="567"/>
        </w:tabs>
        <w:spacing w:line="240" w:lineRule="auto"/>
        <w:rPr>
          <w:rFonts w:cs="Arial"/>
          <w:i/>
          <w:color w:val="4BACC6" w:themeColor="accent5"/>
          <w:sz w:val="18"/>
          <w:szCs w:val="18"/>
        </w:rPr>
      </w:pP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E</w:t>
      </w:r>
      <w:r w:rsidR="00286EF5">
        <w:rPr>
          <w:rFonts w:cs="Arial"/>
          <w:i/>
          <w:color w:val="4BACC6" w:themeColor="accent5"/>
          <w:sz w:val="18"/>
          <w:szCs w:val="18"/>
        </w:rPr>
        <w:t xml:space="preserve">sta </w:t>
      </w:r>
      <w:r w:rsidR="00467AA8">
        <w:rPr>
          <w:rFonts w:cs="Arial"/>
          <w:i/>
          <w:color w:val="4BACC6" w:themeColor="accent5"/>
          <w:sz w:val="18"/>
          <w:szCs w:val="18"/>
        </w:rPr>
        <w:t>Comisión</w:t>
      </w:r>
      <w:r w:rsidR="00286EF5">
        <w:rPr>
          <w:rFonts w:cs="Arial"/>
          <w:i/>
          <w:color w:val="4BACC6" w:themeColor="accent5"/>
          <w:sz w:val="18"/>
          <w:szCs w:val="18"/>
        </w:rPr>
        <w:t xml:space="preserve"> Estatal de </w:t>
      </w:r>
      <w:r w:rsidR="00467AA8">
        <w:rPr>
          <w:rFonts w:cs="Arial"/>
          <w:i/>
          <w:color w:val="4BACC6" w:themeColor="accent5"/>
          <w:sz w:val="18"/>
          <w:szCs w:val="18"/>
        </w:rPr>
        <w:t>Garantía</w:t>
      </w:r>
      <w:r w:rsidR="00286EF5">
        <w:rPr>
          <w:rFonts w:cs="Arial"/>
          <w:i/>
          <w:color w:val="4BACC6" w:themeColor="accent5"/>
          <w:sz w:val="18"/>
          <w:szCs w:val="18"/>
        </w:rPr>
        <w:t xml:space="preserve"> y Acceso a la </w:t>
      </w:r>
      <w:r w:rsidR="00467AA8">
        <w:rPr>
          <w:rFonts w:cs="Arial"/>
          <w:i/>
          <w:color w:val="4BACC6" w:themeColor="accent5"/>
          <w:sz w:val="18"/>
          <w:szCs w:val="18"/>
        </w:rPr>
        <w:t>Información</w:t>
      </w:r>
      <w:r w:rsidR="00286EF5">
        <w:rPr>
          <w:rFonts w:cs="Arial"/>
          <w:i/>
          <w:color w:val="4BACC6" w:themeColor="accent5"/>
          <w:sz w:val="18"/>
          <w:szCs w:val="18"/>
        </w:rPr>
        <w:t xml:space="preserve"> Pública</w:t>
      </w:r>
      <w:r>
        <w:rPr>
          <w:rFonts w:cs="Arial"/>
          <w:i/>
          <w:color w:val="4BACC6" w:themeColor="accent5"/>
          <w:sz w:val="18"/>
          <w:szCs w:val="18"/>
        </w:rPr>
        <w:t>,</w:t>
      </w:r>
      <w:r w:rsidR="00286EF5">
        <w:rPr>
          <w:rFonts w:cs="Arial"/>
          <w:i/>
          <w:color w:val="4BACC6" w:themeColor="accent5"/>
          <w:sz w:val="18"/>
          <w:szCs w:val="18"/>
        </w:rPr>
        <w:t xml:space="preserve"> de conformidad </w:t>
      </w:r>
      <w:r w:rsidR="00467AA8">
        <w:rPr>
          <w:rFonts w:cs="Arial"/>
          <w:i/>
          <w:color w:val="4BACC6" w:themeColor="accent5"/>
          <w:sz w:val="18"/>
          <w:szCs w:val="18"/>
        </w:rPr>
        <w:t>con</w:t>
      </w:r>
      <w:r w:rsidR="00286EF5">
        <w:rPr>
          <w:rFonts w:cs="Arial"/>
          <w:i/>
          <w:color w:val="4BACC6" w:themeColor="accent5"/>
          <w:sz w:val="18"/>
          <w:szCs w:val="18"/>
        </w:rPr>
        <w:t xml:space="preserve"> el </w:t>
      </w:r>
      <w:r w:rsidR="00467AA8">
        <w:rPr>
          <w:rFonts w:cs="Arial"/>
          <w:i/>
          <w:color w:val="4BACC6" w:themeColor="accent5"/>
          <w:sz w:val="18"/>
          <w:szCs w:val="18"/>
        </w:rPr>
        <w:t>artículo</w:t>
      </w:r>
      <w:r w:rsidR="00286EF5">
        <w:rPr>
          <w:rFonts w:cs="Arial"/>
          <w:i/>
          <w:color w:val="4BACC6" w:themeColor="accent5"/>
          <w:sz w:val="18"/>
          <w:szCs w:val="18"/>
        </w:rPr>
        <w:t xml:space="preserve"> 175, fracción lll de la Ley de Transparencia </w:t>
      </w:r>
      <w:r w:rsidR="00467AA8">
        <w:rPr>
          <w:rFonts w:cs="Arial"/>
          <w:i/>
          <w:color w:val="4BACC6" w:themeColor="accent5"/>
          <w:sz w:val="18"/>
          <w:szCs w:val="18"/>
        </w:rPr>
        <w:t xml:space="preserve">y Acceso a la Información </w:t>
      </w:r>
      <w:r>
        <w:rPr>
          <w:rFonts w:cs="Arial"/>
          <w:i/>
          <w:color w:val="4BACC6" w:themeColor="accent5"/>
          <w:sz w:val="18"/>
          <w:szCs w:val="18"/>
        </w:rPr>
        <w:t>P</w:t>
      </w:r>
      <w:r w:rsidR="00467AA8">
        <w:rPr>
          <w:rFonts w:cs="Arial"/>
          <w:i/>
          <w:color w:val="4BACC6" w:themeColor="accent5"/>
          <w:sz w:val="18"/>
          <w:szCs w:val="18"/>
        </w:rPr>
        <w:t xml:space="preserve">ública del Estado </w:t>
      </w:r>
      <w:r w:rsidR="00467AA8">
        <w:rPr>
          <w:rFonts w:cs="Arial"/>
          <w:b/>
          <w:i/>
          <w:color w:val="4BACC6" w:themeColor="accent5"/>
          <w:sz w:val="18"/>
          <w:szCs w:val="18"/>
        </w:rPr>
        <w:t xml:space="preserve">Modifica </w:t>
      </w:r>
      <w:r w:rsidR="00467AA8">
        <w:rPr>
          <w:rFonts w:cs="Arial"/>
          <w:i/>
          <w:color w:val="4BACC6" w:themeColor="accent5"/>
          <w:sz w:val="18"/>
          <w:szCs w:val="18"/>
        </w:rPr>
        <w:t xml:space="preserve">la respuesta </w:t>
      </w:r>
      <w:r>
        <w:rPr>
          <w:rFonts w:cs="Arial"/>
          <w:i/>
          <w:color w:val="4BACC6" w:themeColor="accent5"/>
          <w:sz w:val="18"/>
          <w:szCs w:val="18"/>
        </w:rPr>
        <w:t>otorgada por el ente obligado y lo conmina para que emita una nueva respuesta en la que</w:t>
      </w:r>
      <w:r w:rsidR="00467AA8">
        <w:rPr>
          <w:rFonts w:cs="Arial"/>
          <w:i/>
          <w:color w:val="4BACC6" w:themeColor="accent5"/>
          <w:sz w:val="18"/>
          <w:szCs w:val="18"/>
        </w:rPr>
        <w:t>:</w:t>
      </w:r>
    </w:p>
    <w:p w:rsidR="00322003" w:rsidRDefault="00322003" w:rsidP="005A774A">
      <w:pPr>
        <w:pStyle w:val="corte4fondo"/>
        <w:tabs>
          <w:tab w:val="left" w:pos="567"/>
        </w:tabs>
        <w:spacing w:line="240" w:lineRule="auto"/>
        <w:rPr>
          <w:rFonts w:cs="Arial"/>
          <w:i/>
          <w:color w:val="4BACC6" w:themeColor="accent5"/>
          <w:sz w:val="18"/>
          <w:szCs w:val="18"/>
        </w:rPr>
      </w:pP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6.2.1. entregue al particular la información consistente en:</w:t>
      </w: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6.2.1.1. denuncias recibidas por feminicidios de enero 2012 a la fecha. Fechadas cada una de ellas.</w:t>
      </w: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6.2.1.2. querellas recibidas por feminicidios de enero 2012 a la fecha. Fechadas cada una de ellas.</w:t>
      </w: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6.2.1.3. cuantas de las anteriores dieron lugar a una averiguación previa.</w:t>
      </w:r>
    </w:p>
    <w:p w:rsidR="007B520C" w:rsidRPr="00467AA8"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6.2.1.4. cuantas averiguaciones por feminicidios se consignaron ante juez.”</w:t>
      </w:r>
      <w:r w:rsidR="00467AA8">
        <w:rPr>
          <w:rFonts w:cs="Arial"/>
          <w:i/>
          <w:color w:val="4BACC6" w:themeColor="accent5"/>
          <w:sz w:val="18"/>
          <w:szCs w:val="18"/>
        </w:rPr>
        <w:t xml:space="preserve"> </w:t>
      </w: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7B520C">
        <w:rPr>
          <w:rFonts w:ascii="Arial" w:hAnsi="Arial" w:cs="Arial"/>
          <w:color w:val="4BACC6" w:themeColor="accent5"/>
          <w:sz w:val="24"/>
          <w:szCs w:val="24"/>
        </w:rPr>
        <w:t xml:space="preserve"> </w:t>
      </w:r>
      <w:r w:rsidR="00E12808">
        <w:rPr>
          <w:rFonts w:ascii="Arial" w:hAnsi="Arial" w:cs="Arial"/>
          <w:color w:val="4BACC6" w:themeColor="accent5"/>
          <w:sz w:val="24"/>
          <w:szCs w:val="24"/>
        </w:rPr>
        <w:t>número</w:t>
      </w:r>
      <w:r w:rsidR="009B7254">
        <w:rPr>
          <w:rFonts w:ascii="Arial" w:hAnsi="Arial" w:cs="Arial"/>
          <w:color w:val="4BACC6" w:themeColor="accent5"/>
          <w:sz w:val="24"/>
          <w:szCs w:val="24"/>
        </w:rPr>
        <w:t xml:space="preserve"> </w:t>
      </w:r>
      <w:r w:rsidR="00943FA9">
        <w:rPr>
          <w:rFonts w:ascii="Arial" w:hAnsi="Arial" w:cs="Arial"/>
          <w:color w:val="4BACC6" w:themeColor="accent5"/>
          <w:sz w:val="24"/>
          <w:szCs w:val="24"/>
        </w:rPr>
        <w:t>UT</w:t>
      </w:r>
      <w:r w:rsidR="009B7254">
        <w:rPr>
          <w:rFonts w:ascii="Arial" w:hAnsi="Arial" w:cs="Arial"/>
          <w:color w:val="4BACC6" w:themeColor="accent5"/>
          <w:sz w:val="24"/>
          <w:szCs w:val="24"/>
        </w:rPr>
        <w:t>/</w:t>
      </w:r>
      <w:r w:rsidR="00943FA9">
        <w:rPr>
          <w:rFonts w:ascii="Arial" w:hAnsi="Arial" w:cs="Arial"/>
          <w:color w:val="4BACC6" w:themeColor="accent5"/>
          <w:sz w:val="24"/>
          <w:szCs w:val="24"/>
        </w:rPr>
        <w:t>184</w:t>
      </w:r>
      <w:r w:rsidR="009B7254">
        <w:rPr>
          <w:rFonts w:ascii="Arial" w:hAnsi="Arial" w:cs="Arial"/>
          <w:color w:val="4BACC6" w:themeColor="accent5"/>
          <w:sz w:val="24"/>
          <w:szCs w:val="24"/>
        </w:rPr>
        <w:t>/2017</w:t>
      </w:r>
      <w:r w:rsidR="001C77AA">
        <w:rPr>
          <w:rFonts w:ascii="Arial" w:hAnsi="Arial" w:cs="Arial"/>
          <w:color w:val="4BACC6" w:themeColor="accent5"/>
          <w:sz w:val="24"/>
          <w:szCs w:val="24"/>
        </w:rPr>
        <w:t xml:space="preserve"> </w:t>
      </w:r>
      <w:r w:rsidR="00352A7B" w:rsidRPr="00D7336A">
        <w:rPr>
          <w:rFonts w:ascii="Arial" w:hAnsi="Arial" w:cs="Arial"/>
          <w:color w:val="4BACC6" w:themeColor="accent5"/>
          <w:sz w:val="24"/>
          <w:szCs w:val="24"/>
        </w:rPr>
        <w:t xml:space="preserve">y de </w:t>
      </w:r>
      <w:r w:rsidRPr="00D7336A">
        <w:rPr>
          <w:rFonts w:ascii="Arial" w:hAnsi="Arial" w:cs="Arial"/>
          <w:color w:val="4BACC6" w:themeColor="accent5"/>
          <w:sz w:val="24"/>
          <w:szCs w:val="24"/>
        </w:rPr>
        <w:t>fecha</w:t>
      </w:r>
      <w:r w:rsidR="00D11CA5">
        <w:rPr>
          <w:rFonts w:ascii="Arial" w:hAnsi="Arial" w:cs="Arial"/>
          <w:color w:val="4BACC6" w:themeColor="accent5"/>
          <w:sz w:val="24"/>
          <w:szCs w:val="24"/>
        </w:rPr>
        <w:t xml:space="preserve"> </w:t>
      </w:r>
      <w:r w:rsidR="00943FA9">
        <w:rPr>
          <w:rFonts w:ascii="Arial" w:hAnsi="Arial" w:cs="Arial"/>
          <w:color w:val="4BACC6" w:themeColor="accent5"/>
          <w:sz w:val="24"/>
          <w:szCs w:val="24"/>
        </w:rPr>
        <w:t xml:space="preserve">diez de agosto de </w:t>
      </w:r>
      <w:r w:rsidR="001A3205" w:rsidRPr="00D7336A">
        <w:rPr>
          <w:rFonts w:ascii="Arial" w:hAnsi="Arial" w:cs="Arial"/>
          <w:color w:val="4BACC6" w:themeColor="accent5"/>
          <w:sz w:val="24"/>
          <w:szCs w:val="24"/>
        </w:rPr>
        <w:t>dos mil diecisiete,</w:t>
      </w:r>
      <w:r w:rsidR="006A4610" w:rsidRPr="00D7336A">
        <w:rPr>
          <w:rFonts w:ascii="Arial" w:hAnsi="Arial" w:cs="Arial"/>
          <w:color w:val="4BACC6" w:themeColor="accent5"/>
          <w:sz w:val="24"/>
          <w:szCs w:val="24"/>
        </w:rPr>
        <w:t xml:space="preserve"> con </w:t>
      </w:r>
      <w:r w:rsidR="00943FA9">
        <w:rPr>
          <w:rFonts w:ascii="Arial" w:hAnsi="Arial" w:cs="Arial"/>
          <w:color w:val="4BACC6" w:themeColor="accent5"/>
          <w:sz w:val="24"/>
          <w:szCs w:val="24"/>
        </w:rPr>
        <w:t xml:space="preserve">4 </w:t>
      </w:r>
      <w:r w:rsidR="006A4610" w:rsidRPr="00D7336A">
        <w:rPr>
          <w:rFonts w:ascii="Arial" w:hAnsi="Arial" w:cs="Arial"/>
          <w:color w:val="4BACC6" w:themeColor="accent5"/>
          <w:sz w:val="24"/>
          <w:szCs w:val="24"/>
        </w:rPr>
        <w:t>anexo</w:t>
      </w:r>
      <w:r w:rsidR="00943FA9">
        <w:rPr>
          <w:rFonts w:ascii="Arial" w:hAnsi="Arial" w:cs="Arial"/>
          <w:color w:val="4BACC6" w:themeColor="accent5"/>
          <w:sz w:val="24"/>
          <w:szCs w:val="24"/>
        </w:rPr>
        <w:t>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6569DD" w:rsidRDefault="00E12808" w:rsidP="00D11CA5">
      <w:pPr>
        <w:spacing w:after="0" w:line="240" w:lineRule="auto"/>
        <w:jc w:val="both"/>
        <w:rPr>
          <w:rFonts w:ascii="Arial" w:hAnsi="Arial" w:cs="Arial"/>
          <w:i/>
          <w:color w:val="4BACC6" w:themeColor="accent5"/>
        </w:rPr>
      </w:pPr>
      <w:r w:rsidRPr="006569DD">
        <w:rPr>
          <w:rFonts w:ascii="Arial" w:hAnsi="Arial" w:cs="Arial"/>
          <w:i/>
          <w:color w:val="4BACC6" w:themeColor="accent5"/>
        </w:rPr>
        <w:t xml:space="preserve"> </w:t>
      </w:r>
      <w:r w:rsidR="00D11CA5" w:rsidRPr="006569DD">
        <w:rPr>
          <w:rFonts w:ascii="Arial" w:hAnsi="Arial" w:cs="Arial"/>
          <w:i/>
          <w:color w:val="4BACC6" w:themeColor="accent5"/>
        </w:rPr>
        <w:t>[…]</w:t>
      </w:r>
      <w:r w:rsidR="00810456" w:rsidRPr="006569DD">
        <w:rPr>
          <w:rFonts w:ascii="Arial" w:hAnsi="Arial" w:cs="Arial"/>
          <w:i/>
          <w:color w:val="4BACC6" w:themeColor="accent5"/>
        </w:rPr>
        <w:t xml:space="preserve"> </w:t>
      </w:r>
      <w:r w:rsidR="00943FA9">
        <w:rPr>
          <w:rFonts w:ascii="Arial" w:hAnsi="Arial" w:cs="Arial"/>
          <w:i/>
          <w:color w:val="4BACC6" w:themeColor="accent5"/>
        </w:rPr>
        <w:t>con la finalidad de</w:t>
      </w:r>
      <w:r w:rsidR="009B7254" w:rsidRPr="006569DD">
        <w:rPr>
          <w:rFonts w:ascii="Arial" w:hAnsi="Arial" w:cs="Arial"/>
          <w:i/>
          <w:color w:val="4BACC6" w:themeColor="accent5"/>
        </w:rPr>
        <w:t xml:space="preserve"> dar cumplimiento a l</w:t>
      </w:r>
      <w:r w:rsidR="00943FA9">
        <w:rPr>
          <w:rFonts w:ascii="Arial" w:hAnsi="Arial" w:cs="Arial"/>
          <w:i/>
          <w:color w:val="4BACC6" w:themeColor="accent5"/>
        </w:rPr>
        <w:t>a</w:t>
      </w:r>
      <w:r w:rsidR="009B7254" w:rsidRPr="006569DD">
        <w:rPr>
          <w:rFonts w:ascii="Arial" w:hAnsi="Arial" w:cs="Arial"/>
          <w:i/>
          <w:color w:val="4BACC6" w:themeColor="accent5"/>
        </w:rPr>
        <w:t xml:space="preserve"> </w:t>
      </w:r>
      <w:r w:rsidR="00943FA9">
        <w:rPr>
          <w:rFonts w:ascii="Arial" w:hAnsi="Arial" w:cs="Arial"/>
          <w:i/>
          <w:color w:val="4BACC6" w:themeColor="accent5"/>
        </w:rPr>
        <w:t xml:space="preserve">Resolución dictada dentro del Recurso de Revisión que nos ocupa, se le envió al recurrente al correo electrónico </w:t>
      </w:r>
      <w:hyperlink r:id="rId8" w:history="1">
        <w:r w:rsidR="00943FA9" w:rsidRPr="005E5863">
          <w:rPr>
            <w:rStyle w:val="Hipervnculo"/>
            <w:rFonts w:ascii="Arial" w:hAnsi="Arial" w:cs="Arial"/>
          </w:rPr>
          <w:t>eltribunodelosplebes@gmail.com</w:t>
        </w:r>
      </w:hyperlink>
      <w:r w:rsidR="00943FA9">
        <w:rPr>
          <w:rFonts w:ascii="Arial" w:hAnsi="Arial" w:cs="Arial"/>
          <w:i/>
          <w:color w:val="4BACC6" w:themeColor="accent5"/>
        </w:rPr>
        <w:t xml:space="preserve"> la respuesta generada por cada una de las Áreas. Se anexa impresión de pantalla en donde consta el envió al correo señalado el 9 de agosto de 2017.</w:t>
      </w:r>
      <w:r w:rsidR="001C77AA" w:rsidRPr="006569DD">
        <w:rPr>
          <w:rFonts w:ascii="Arial" w:hAnsi="Arial" w:cs="Arial"/>
          <w:i/>
          <w:color w:val="4BACC6" w:themeColor="accent5"/>
        </w:rPr>
        <w:t xml:space="preserve"> </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616C0D">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977800">
        <w:rPr>
          <w:rFonts w:cs="Arial"/>
          <w:color w:val="4BACC6" w:themeColor="accent5"/>
          <w:sz w:val="24"/>
          <w:szCs w:val="24"/>
        </w:rPr>
        <w:t>55</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977800">
        <w:rPr>
          <w:rFonts w:cs="Arial"/>
          <w:color w:val="4BACC6" w:themeColor="accent5"/>
          <w:sz w:val="24"/>
          <w:szCs w:val="24"/>
        </w:rPr>
        <w:t>86</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consta</w:t>
      </w:r>
      <w:r w:rsidR="00977800">
        <w:rPr>
          <w:rFonts w:cs="Arial"/>
          <w:color w:val="4BACC6" w:themeColor="accent5"/>
          <w:sz w:val="24"/>
          <w:szCs w:val="24"/>
        </w:rPr>
        <w:t xml:space="preserve"> el número de denuncias, </w:t>
      </w:r>
      <w:proofErr w:type="gramStart"/>
      <w:r w:rsidR="00977800">
        <w:rPr>
          <w:rFonts w:cs="Arial"/>
          <w:color w:val="4BACC6" w:themeColor="accent5"/>
          <w:sz w:val="24"/>
          <w:szCs w:val="24"/>
        </w:rPr>
        <w:t>querellas,  averiguaciones</w:t>
      </w:r>
      <w:proofErr w:type="gramEnd"/>
      <w:r w:rsidR="00977800">
        <w:rPr>
          <w:rFonts w:cs="Arial"/>
          <w:color w:val="4BACC6" w:themeColor="accent5"/>
          <w:sz w:val="24"/>
          <w:szCs w:val="24"/>
        </w:rPr>
        <w:t xml:space="preserve"> previas iniciadas y consignadas por el delito de feminicidio de 2012 a la fecha.</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w:t>
      </w:r>
      <w:r w:rsidR="00FE5A4C" w:rsidRPr="00D7336A">
        <w:rPr>
          <w:rFonts w:ascii="Arial" w:hAnsi="Arial" w:cs="Arial"/>
          <w:color w:val="4BACC6" w:themeColor="accent5"/>
          <w:sz w:val="24"/>
          <w:szCs w:val="24"/>
        </w:rPr>
        <w:lastRenderedPageBreak/>
        <w:t>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77800">
        <w:rPr>
          <w:rFonts w:cs="Arial"/>
          <w:color w:val="4BACC6" w:themeColor="accent5"/>
          <w:sz w:val="24"/>
          <w:szCs w:val="24"/>
        </w:rPr>
        <w:t>del número de denuncias, querellas, averiguaciones previas iniciadas y consignadas por el delito de feminicidio de 2012 a la fecha.</w:t>
      </w:r>
      <w:r w:rsidR="006569DD" w:rsidRPr="00467AA8">
        <w:rPr>
          <w:rFonts w:cs="Arial"/>
          <w:color w:val="4BACC6" w:themeColor="accent5"/>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616C0D">
        <w:rPr>
          <w:rFonts w:ascii="Arial" w:hAnsi="Arial" w:cs="Arial"/>
          <w:color w:val="4BACC6" w:themeColor="accent5"/>
          <w:sz w:val="24"/>
          <w:szCs w:val="24"/>
        </w:rPr>
        <w:t xml:space="preserve">veintidós de </w:t>
      </w:r>
      <w:r w:rsidR="00977800">
        <w:rPr>
          <w:rFonts w:ascii="Arial" w:hAnsi="Arial" w:cs="Arial"/>
          <w:color w:val="4BACC6" w:themeColor="accent5"/>
          <w:sz w:val="24"/>
          <w:szCs w:val="24"/>
        </w:rPr>
        <w:t xml:space="preserve">agosto </w:t>
      </w:r>
      <w:r w:rsidRPr="00D7336A">
        <w:rPr>
          <w:rFonts w:ascii="Arial" w:hAnsi="Arial" w:cs="Arial"/>
          <w:color w:val="4BACC6" w:themeColor="accent5"/>
          <w:sz w:val="24"/>
          <w:szCs w:val="24"/>
        </w:rPr>
        <w:t>de dos mil diecisiete,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w:t>
      </w:r>
      <w:r w:rsidR="00426890">
        <w:rPr>
          <w:rFonts w:ascii="Arial" w:hAnsi="Arial" w:cs="Arial"/>
          <w:color w:val="4BACC6" w:themeColor="accent5"/>
          <w:sz w:val="24"/>
          <w:szCs w:val="24"/>
        </w:rPr>
        <w:t xml:space="preserve"> visibles a fojas </w:t>
      </w:r>
      <w:r w:rsidR="00977800">
        <w:rPr>
          <w:rFonts w:ascii="Arial" w:hAnsi="Arial" w:cs="Arial"/>
          <w:color w:val="4BACC6" w:themeColor="accent5"/>
          <w:sz w:val="24"/>
          <w:szCs w:val="24"/>
        </w:rPr>
        <w:t>88</w:t>
      </w:r>
      <w:r w:rsidR="00AB0C8A">
        <w:rPr>
          <w:rFonts w:ascii="Arial" w:hAnsi="Arial" w:cs="Arial"/>
          <w:color w:val="4BACC6" w:themeColor="accent5"/>
          <w:sz w:val="24"/>
          <w:szCs w:val="24"/>
        </w:rPr>
        <w:t xml:space="preserve"> a </w:t>
      </w:r>
      <w:r w:rsidR="00977800">
        <w:rPr>
          <w:rFonts w:ascii="Arial" w:hAnsi="Arial" w:cs="Arial"/>
          <w:color w:val="4BACC6" w:themeColor="accent5"/>
          <w:sz w:val="24"/>
          <w:szCs w:val="24"/>
        </w:rPr>
        <w:t>90</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5A774A">
        <w:rPr>
          <w:rFonts w:ascii="Arial" w:hAnsi="Arial" w:cs="Arial"/>
          <w:b/>
          <w:color w:val="4BACC6" w:themeColor="accent5"/>
          <w:sz w:val="24"/>
          <w:szCs w:val="24"/>
        </w:rPr>
        <w:t>190</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Pr="005A774A" w:rsidRDefault="005A774A"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E32AE9" w:rsidRPr="005A774A"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sectPr w:rsidR="00E32AE9" w:rsidRPr="005A774A" w:rsidSect="00FF56CF">
      <w:headerReference w:type="default" r:id="rId9"/>
      <w:footerReference w:type="default" r:id="rId10"/>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737D" w:rsidRDefault="00C5737D" w:rsidP="00A04BCB">
      <w:pPr>
        <w:spacing w:after="0" w:line="240" w:lineRule="auto"/>
      </w:pPr>
      <w:r>
        <w:separator/>
      </w:r>
    </w:p>
  </w:endnote>
  <w:endnote w:type="continuationSeparator" w:id="0">
    <w:p w:rsidR="00C5737D" w:rsidRDefault="00C5737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74A" w:rsidRDefault="005A774A">
    <w:pPr>
      <w:pStyle w:val="Piedepgina"/>
    </w:pPr>
    <w:r>
      <w:t>O.R.E.J.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737D" w:rsidRDefault="00C5737D" w:rsidP="00A04BCB">
      <w:pPr>
        <w:spacing w:after="0" w:line="240" w:lineRule="auto"/>
      </w:pPr>
      <w:r>
        <w:separator/>
      </w:r>
    </w:p>
  </w:footnote>
  <w:footnote w:type="continuationSeparator" w:id="0">
    <w:p w:rsidR="00C5737D" w:rsidRDefault="00C5737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322003">
      <w:rPr>
        <w:rFonts w:ascii="Arial" w:hAnsi="Arial" w:cs="Arial"/>
        <w:b/>
      </w:rPr>
      <w:t>190</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15C6F"/>
    <w:rsid w:val="0054206B"/>
    <w:rsid w:val="00552902"/>
    <w:rsid w:val="0055402B"/>
    <w:rsid w:val="00555BEA"/>
    <w:rsid w:val="00557692"/>
    <w:rsid w:val="00570D95"/>
    <w:rsid w:val="00580B07"/>
    <w:rsid w:val="005A2395"/>
    <w:rsid w:val="005A774A"/>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77C"/>
    <w:rsid w:val="007B1813"/>
    <w:rsid w:val="007B30A9"/>
    <w:rsid w:val="007B520C"/>
    <w:rsid w:val="007C70EC"/>
    <w:rsid w:val="007E7A46"/>
    <w:rsid w:val="008024C9"/>
    <w:rsid w:val="00803BF0"/>
    <w:rsid w:val="00810456"/>
    <w:rsid w:val="0082057A"/>
    <w:rsid w:val="008334F5"/>
    <w:rsid w:val="00845E58"/>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43FA9"/>
    <w:rsid w:val="0094536F"/>
    <w:rsid w:val="00977800"/>
    <w:rsid w:val="0098511D"/>
    <w:rsid w:val="009902D3"/>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5737D"/>
    <w:rsid w:val="00C66E3D"/>
    <w:rsid w:val="00C70A3F"/>
    <w:rsid w:val="00C73D19"/>
    <w:rsid w:val="00C7664A"/>
    <w:rsid w:val="00C96DC3"/>
    <w:rsid w:val="00CC57CD"/>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tribunodelosplebe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62636-182F-4C0F-B781-05580CFF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4029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2017-11-27T18:27:00Z</cp:lastPrinted>
  <dcterms:created xsi:type="dcterms:W3CDTF">2018-02-09T18:16:00Z</dcterms:created>
  <dcterms:modified xsi:type="dcterms:W3CDTF">2018-02-09T18:16:00Z</dcterms:modified>
</cp:coreProperties>
</file>